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Date:11/20/2025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11:45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Added additional instrumentation to the suspected latency hotspots and captured a clearer set of metrics.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narrowing down which operations inside those sections contribute most to the spikes.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logs still show noise, making it difficult to isolate the exact trigger for each spike.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Merged the improved animation transitions with the alert logic and ran basic stability checks.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Adjust timing thresholds so alerts and animations stay synchronized during faster updates.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Timing drifts slightly when animation load increases, affecting smoothness.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Ran longer clustering tests and gathered accuracy comparisons between old and new alignment behavior.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Begin optimizing the processing path to better support high frequency burst scenarios.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Occasional micro delays still accumulate under very heavy bursts, leading to subtle alignment differences.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